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            </w:t>
      </w:r>
      <w:r>
        <w:rPr>
          <w:rFonts w:ascii="Tinos" w:hAnsi="Tinos" w:eastAsia="Tinos" w:cs="Tinos"/>
          <w:sz w:val="22"/>
          <w:szCs w:val="22"/>
        </w:rPr>
        <w:t xml:space="preserve">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2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2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 от 22.04.2025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</w:t>
      </w:r>
      <w:r>
        <w:rPr>
          <w:rFonts w:ascii="Tinos" w:hAnsi="Tinos" w:eastAsia="Tinos" w:cs="Tinos"/>
          <w:sz w:val="22"/>
          <w:szCs w:val="22"/>
        </w:rPr>
        <w:t xml:space="preserve"> , _______,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hAnsi="Tinos" w:eastAsia="Tinos" w:cs="Tinos"/>
          <w:sz w:val="22"/>
          <w:szCs w:val="22"/>
        </w:rPr>
        <w:t xml:space="preserve">нижеследующем: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</w:t>
      </w:r>
      <w:r>
        <w:rPr>
          <w:rFonts w:ascii="Tinos" w:hAnsi="Tinos" w:eastAsia="Tinos" w:cs="Tinos"/>
          <w:sz w:val="22"/>
          <w:szCs w:val="22"/>
        </w:rPr>
        <w:t xml:space="preserve">па</w:t>
      </w:r>
      <w:r>
        <w:rPr>
          <w:rFonts w:ascii="Tinos" w:hAnsi="Tinos" w:eastAsia="Tinos" w:cs="Tinos"/>
          <w:sz w:val="22"/>
          <w:szCs w:val="22"/>
        </w:rPr>
        <w:t xml:space="preserve">телю: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запасные части к трансформаторам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</w:t>
      </w:r>
      <w:r>
        <w:rPr>
          <w:rFonts w:ascii="Tinos" w:hAnsi="Tinos" w:eastAsia="Tinos" w:cs="Tinos"/>
          <w:sz w:val="22"/>
          <w:szCs w:val="22"/>
        </w:rPr>
        <w:t xml:space="preserve">ие № 1), являющейся неотъемле</w:t>
      </w:r>
      <w:r>
        <w:rPr>
          <w:rFonts w:ascii="Tinos" w:hAnsi="Tinos" w:eastAsia="Tinos" w:cs="Tinos"/>
          <w:sz w:val="22"/>
          <w:szCs w:val="22"/>
        </w:rPr>
        <w:t xml:space="preserve">мой частью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5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hAnsi="Tinos" w:eastAsia="Tinos" w:cs="Tinos"/>
          <w:sz w:val="22"/>
          <w:szCs w:val="22"/>
        </w:rPr>
        <w:t xml:space="preserve"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</w:t>
      </w:r>
      <w:r>
        <w:rPr>
          <w:rFonts w:ascii="Tinos" w:hAnsi="Tinos" w:eastAsia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hAnsi="Tinos" w:eastAsia="Tinos" w:cs="Tinos"/>
          <w:sz w:val="22"/>
          <w:szCs w:val="22"/>
        </w:rPr>
        <w:t xml:space="preserve"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hAnsi="Tinos" w:eastAsia="Tinos" w:cs="Tinos"/>
          <w:sz w:val="22"/>
          <w:szCs w:val="22"/>
        </w:rPr>
        <w:t xml:space="preserve"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hAnsi="Tinos" w:eastAsia="Tinos" w:cs="Tinos"/>
          <w:sz w:val="22"/>
          <w:szCs w:val="22"/>
        </w:rPr>
        <w:t xml:space="preserve">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</w:t>
      </w:r>
      <w:r>
        <w:rPr>
          <w:rFonts w:ascii="Tinos" w:hAnsi="Tinos" w:eastAsia="Tinos" w:cs="Tinos"/>
          <w:sz w:val="22"/>
          <w:szCs w:val="22"/>
        </w:rPr>
        <w:t xml:space="preserve">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</w:t>
      </w:r>
      <w:r>
        <w:rPr>
          <w:rFonts w:ascii="Tinos" w:hAnsi="Tinos" w:eastAsia="Tinos" w:cs="Tinos"/>
          <w:sz w:val="22"/>
          <w:szCs w:val="22"/>
        </w:rPr>
        <w:t xml:space="preserve">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</w:t>
      </w:r>
      <w:r>
        <w:rPr>
          <w:rFonts w:ascii="Tinos" w:hAnsi="Tinos" w:eastAsia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</w:t>
      </w:r>
      <w:r>
        <w:rPr>
          <w:rFonts w:ascii="Tinos" w:hAnsi="Tinos" w:eastAsia="Tinos" w:cs="Tinos"/>
          <w:sz w:val="22"/>
          <w:szCs w:val="22"/>
        </w:rPr>
        <w:t xml:space="preserve"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hAnsi="Tinos" w:eastAsia="Tinos" w:cs="Tinos"/>
          <w:sz w:val="22"/>
          <w:szCs w:val="22"/>
        </w:rPr>
        <w:t xml:space="preserve"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hAnsi="Tinos" w:eastAsia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hAnsi="Tinos" w:eastAsia="Tinos" w:cs="Tinos"/>
          <w:sz w:val="22"/>
          <w:szCs w:val="22"/>
        </w:rPr>
        <w:t xml:space="preserve"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hAnsi="Tinos" w:eastAsia="Tinos" w:cs="Tinos"/>
          <w:sz w:val="22"/>
          <w:szCs w:val="22"/>
        </w:rPr>
        <w:t xml:space="preserve">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hAnsi="Tinos" w:eastAsia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hAnsi="Tinos" w:eastAsia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hAnsi="Tinos" w:eastAsia="Tinos" w:cs="Tinos"/>
          <w:sz w:val="22"/>
          <w:szCs w:val="22"/>
        </w:rPr>
        <w:t xml:space="preserve"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hAnsi="Tinos" w:eastAsia="Tinos" w:cs="Tinos"/>
          <w:sz w:val="22"/>
          <w:szCs w:val="22"/>
        </w:rPr>
        <w:t xml:space="preserve"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hAnsi="Tinos" w:eastAsia="Tinos" w:cs="Tinos"/>
          <w:sz w:val="22"/>
          <w:szCs w:val="22"/>
        </w:rPr>
        <w:t xml:space="preserve">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hAnsi="Tinos" w:eastAsia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hAnsi="Tinos" w:eastAsia="Tinos" w:cs="Tinos"/>
          <w:sz w:val="22"/>
          <w:szCs w:val="22"/>
        </w:rPr>
        <w:t xml:space="preserve">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hAnsi="Tinos" w:eastAsia="Tinos" w:cs="Tinos"/>
          <w:sz w:val="22"/>
          <w:szCs w:val="22"/>
        </w:rPr>
        <w:t xml:space="preserve"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18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поста</w:t>
      </w:r>
      <w:r>
        <w:rPr>
          <w:rFonts w:ascii="Tinos" w:hAnsi="Tinos" w:eastAsia="Tinos" w:cs="Tinos"/>
          <w:sz w:val="22"/>
          <w:szCs w:val="22"/>
        </w:rPr>
        <w:t xml:space="preserve">вки: </w:t>
      </w:r>
      <w:r>
        <w:rPr>
          <w:rFonts w:ascii="Tinos" w:hAnsi="Tinos" w:eastAsia="Tinos" w:cs="Tinos"/>
          <w:sz w:val="22"/>
          <w:szCs w:val="22"/>
        </w:rPr>
        <w:t xml:space="preserve">в период с 01.12.2025 г. по 30.12.2025</w:t>
      </w:r>
      <w:r>
        <w:rPr>
          <w:rFonts w:ascii="Tinos" w:hAnsi="Tinos" w:eastAsia="Tinos" w:cs="Tinos"/>
          <w:sz w:val="22"/>
          <w:szCs w:val="22"/>
        </w:rPr>
        <w:t xml:space="preserve">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</w:rPr>
        <w:t xml:space="preserve">667004, Республика Тыва, г. Кызыл, ул. Колхозная 2Б, Центральный склад АО «Россети Сибирь Ты</w:t>
      </w:r>
      <w:r>
        <w:rPr>
          <w:rFonts w:ascii="Tinos" w:hAnsi="Tinos" w:eastAsia="Tinos" w:cs="Tinos"/>
          <w:sz w:val="22"/>
          <w:szCs w:val="22"/>
        </w:rPr>
        <w:t xml:space="preserve">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</w:t>
      </w:r>
      <w:r>
        <w:rPr>
          <w:rFonts w:ascii="Tinos" w:hAnsi="Tinos" w:eastAsia="Tinos" w:cs="Tinos"/>
          <w:sz w:val="22"/>
          <w:szCs w:val="22"/>
        </w:rPr>
        <w:t xml:space="preserve">и: поставка осуществляется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</w:t>
      </w:r>
      <w:r>
        <w:rPr>
          <w:rFonts w:ascii="Tinos" w:hAnsi="Tinos" w:eastAsia="Tinos" w:cs="Tinos"/>
          <w:sz w:val="22"/>
          <w:szCs w:val="22"/>
        </w:rPr>
        <w:t xml:space="preserve">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0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</w:t>
      </w:r>
      <w:r>
        <w:rPr>
          <w:rFonts w:ascii="Tinos" w:hAnsi="Tinos" w:eastAsia="Tinos" w:cs="Tinos"/>
          <w:sz w:val="22"/>
          <w:szCs w:val="22"/>
        </w:rPr>
        <w:t xml:space="preserve">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hAnsi="Tinos" w:eastAsia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rFonts w:ascii="Tinos" w:hAnsi="Tinos" w:eastAsia="Tinos" w:cs="Tinos"/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hAnsi="Tinos" w:eastAsia="Tinos" w:cs="Tinos"/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4.1. Поставляемая </w:t>
      </w:r>
      <w:r>
        <w:rPr>
          <w:rFonts w:ascii="Tinos" w:hAnsi="Tinos" w:eastAsia="Tinos" w:cs="Tinos"/>
          <w:sz w:val="22"/>
          <w:szCs w:val="22"/>
        </w:rPr>
        <w:t xml:space="preserve">Продукция д</w:t>
      </w:r>
      <w:r>
        <w:rPr>
          <w:rFonts w:ascii="Tinos" w:hAnsi="Tinos" w:eastAsia="Tinos" w:cs="Tinos"/>
          <w:sz w:val="22"/>
          <w:szCs w:val="22"/>
        </w:rPr>
        <w:t xml:space="preserve">олжна быть экологически безопасной и по своему качеству должна соответствова</w:t>
      </w:r>
      <w:r>
        <w:rPr>
          <w:rFonts w:ascii="Tinos" w:hAnsi="Tinos" w:eastAsia="Tinos" w:cs="Tinos"/>
          <w:sz w:val="22"/>
          <w:szCs w:val="22"/>
        </w:rPr>
        <w:t xml:space="preserve">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</w:t>
      </w:r>
      <w:r>
        <w:rPr>
          <w:rFonts w:ascii="Tinos" w:hAnsi="Tinos" w:eastAsia="Tinos" w:cs="Tinos"/>
          <w:sz w:val="22"/>
          <w:szCs w:val="22"/>
        </w:rPr>
        <w:t xml:space="preserve">оставки или предшествующий ему, и быть ранее не использованной.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Продукция</w:t>
      </w:r>
      <w:r>
        <w:rPr>
          <w:rFonts w:ascii="Tinos" w:hAnsi="Tinos" w:eastAsia="Tinos" w:cs="Tinos"/>
          <w:sz w:val="22"/>
          <w:szCs w:val="22"/>
        </w:rPr>
        <w:t xml:space="preserve">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соответствовать требованиям: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Действующих на территории Р</w:t>
      </w:r>
      <w:r>
        <w:rPr>
          <w:rFonts w:ascii="Tinos" w:hAnsi="Tinos" w:eastAsia="Tinos" w:cs="Tinos"/>
          <w:sz w:val="22"/>
          <w:szCs w:val="22"/>
        </w:rPr>
        <w:t xml:space="preserve">оссийской Федерации нормативно-технических документов;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Положения ПАО «Россети» О единой технической политике в электросетевом комплексе РФ.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hAnsi="Tinos" w:eastAsia="Tinos" w:cs="Tinos"/>
          <w:sz w:val="22"/>
          <w:szCs w:val="22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</w:t>
      </w:r>
      <w:r>
        <w:rPr>
          <w:rFonts w:ascii="Tinos" w:hAnsi="Tinos" w:eastAsia="Tinos" w:cs="Tinos"/>
          <w:sz w:val="22"/>
          <w:szCs w:val="22"/>
        </w:rPr>
        <w:t xml:space="preserve">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</w:t>
      </w:r>
      <w:r>
        <w:rPr>
          <w:rFonts w:ascii="Tinos" w:hAnsi="Tinos" w:eastAsia="Tinos" w:cs="Tinos"/>
          <w:sz w:val="22"/>
          <w:szCs w:val="22"/>
        </w:rPr>
        <w:t xml:space="preserve">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сопроводительная документация должна быть составлена на русском языке и передана Покупателю вместе с </w:t>
      </w:r>
      <w:r>
        <w:rPr>
          <w:rFonts w:ascii="Tinos" w:hAnsi="Tinos" w:eastAsia="Tinos" w:cs="Tinos"/>
          <w:sz w:val="22"/>
          <w:szCs w:val="22"/>
        </w:rPr>
        <w:t xml:space="preserve">поставляемой Продукцией.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4.2. 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nos" w:hAnsi="Tinos" w:eastAsia="Tinos" w:cs="Tinos"/>
          <w:bCs/>
          <w:sz w:val="22"/>
          <w:szCs w:val="22"/>
        </w:rPr>
        <w:t xml:space="preserve">ввода оборудования и материалов в эксплуатацию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</w:t>
      </w:r>
      <w:r>
        <w:rPr>
          <w:rFonts w:ascii="Tinos" w:hAnsi="Tinos" w:eastAsia="Tinos" w:cs="Tinos"/>
          <w:sz w:val="22"/>
          <w:szCs w:val="22"/>
        </w:rPr>
        <w:t xml:space="preserve">, согласованные с Покупателем, устранять любые дефекты в поставляемой Продукции,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</w:t>
      </w:r>
      <w:r>
        <w:rPr>
          <w:rFonts w:ascii="Tinos" w:hAnsi="Tinos" w:eastAsia="Tinos" w:cs="Tinos"/>
          <w:bCs/>
          <w:sz w:val="22"/>
          <w:szCs w:val="22"/>
        </w:rPr>
        <w:t xml:space="preserve">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4.3. Покупатель обязан опер</w:t>
      </w:r>
      <w:r>
        <w:rPr>
          <w:rFonts w:ascii="Tinos" w:hAnsi="Tinos" w:eastAsia="Tinos" w:cs="Tinos"/>
          <w:sz w:val="22"/>
          <w:szCs w:val="22"/>
        </w:rPr>
        <w:t xml:space="preserve">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</w:t>
      </w:r>
      <w:r>
        <w:rPr>
          <w:rFonts w:ascii="Tinos" w:hAnsi="Tinos" w:eastAsia="Tinos" w:cs="Tinos"/>
          <w:sz w:val="22"/>
          <w:szCs w:val="22"/>
        </w:rPr>
        <w:t xml:space="preserve">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4.4. Если Поставщик, получив уведомление, не исправит дефект(ы) или не произведет замену некачественной Продукции в сроки, указанны</w:t>
      </w:r>
      <w:r>
        <w:rPr>
          <w:rFonts w:ascii="Tinos" w:hAnsi="Tinos" w:eastAsia="Tinos" w:cs="Tinos"/>
          <w:sz w:val="22"/>
          <w:szCs w:val="22"/>
        </w:rPr>
        <w:t xml:space="preserve">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</w:t>
      </w:r>
      <w:r>
        <w:rPr>
          <w:rFonts w:ascii="Tinos" w:hAnsi="Tinos" w:eastAsia="Tinos" w:cs="Tinos"/>
          <w:sz w:val="22"/>
          <w:szCs w:val="22"/>
        </w:rPr>
        <w:t xml:space="preserve">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</w:t>
      </w:r>
      <w:r>
        <w:rPr>
          <w:rFonts w:ascii="Tinos" w:hAnsi="Tinos" w:eastAsia="Tinos" w:cs="Tinos"/>
          <w:sz w:val="22"/>
          <w:szCs w:val="22"/>
        </w:rPr>
        <w:t xml:space="preserve">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</w:t>
      </w:r>
      <w:r>
        <w:rPr>
          <w:rFonts w:ascii="Tinos" w:hAnsi="Tinos" w:eastAsia="Tinos" w:cs="Tinos"/>
          <w:sz w:val="22"/>
          <w:szCs w:val="22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hAnsi="Tinos" w:eastAsia="Tinos" w:cs="Tinos"/>
          <w:sz w:val="22"/>
          <w:szCs w:val="22"/>
        </w:rPr>
        <w:t xml:space="preserve">кументации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</w:t>
      </w:r>
      <w:r>
        <w:rPr>
          <w:rFonts w:ascii="Tinos" w:hAnsi="Tinos" w:eastAsia="Tinos" w:cs="Tinos"/>
          <w:sz w:val="22"/>
          <w:szCs w:val="22"/>
        </w:rPr>
        <w:t xml:space="preserve">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9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</w:t>
      </w:r>
      <w:r>
        <w:rPr>
          <w:rFonts w:ascii="Tinos" w:hAnsi="Tinos" w:eastAsia="Tinos" w:cs="Tinos"/>
          <w:sz w:val="22"/>
          <w:szCs w:val="22"/>
        </w:rPr>
        <w:t xml:space="preserve">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</w:t>
      </w:r>
      <w:r>
        <w:rPr>
          <w:rFonts w:ascii="Tinos" w:hAnsi="Tinos" w:eastAsia="Tinos" w:cs="Tinos"/>
          <w:sz w:val="22"/>
          <w:szCs w:val="22"/>
        </w:rPr>
        <w:t xml:space="preserve">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Сертификаты/декларации соответствия, протоколы испытаний, документацию по монтажу, наладке и эксплуатации</w:t>
      </w:r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Гарантийные свидетельства;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</w:t>
      </w:r>
      <w:r>
        <w:rPr>
          <w:rFonts w:ascii="Tinos" w:hAnsi="Tinos" w:eastAsia="Tinos" w:cs="Tinos"/>
          <w:sz w:val="22"/>
          <w:szCs w:val="22"/>
        </w:rPr>
        <w:t xml:space="preserve"> Российской Федерации;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2"/>
          <w:numId w:val="7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</w:t>
      </w:r>
      <w:r>
        <w:rPr>
          <w:rFonts w:ascii="Tinos" w:hAnsi="Tinos" w:eastAsia="Tinos" w:cs="Tinos"/>
          <w:sz w:val="22"/>
          <w:szCs w:val="22"/>
        </w:rPr>
        <w:t xml:space="preserve">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</w:t>
      </w:r>
      <w:r>
        <w:rPr>
          <w:rFonts w:ascii="Tinos" w:hAnsi="Tinos" w:eastAsia="Tinos" w:cs="Tinos"/>
          <w:sz w:val="22"/>
          <w:szCs w:val="22"/>
        </w:rPr>
        <w:t xml:space="preserve">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                                                               5. 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</w:t>
      </w:r>
      <w:r>
        <w:rPr>
          <w:rFonts w:ascii="Tinos" w:hAnsi="Tinos" w:eastAsia="Tinos" w:cs="Tinos"/>
          <w:sz w:val="22"/>
          <w:szCs w:val="22"/>
        </w:rPr>
        <w:t xml:space="preserve">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</w:t>
      </w:r>
      <w:r>
        <w:rPr>
          <w:rFonts w:ascii="Tinos" w:hAnsi="Tinos" w:eastAsia="Tinos" w:cs="Tinos"/>
          <w:sz w:val="22"/>
          <w:szCs w:val="22"/>
        </w:rPr>
        <w:t xml:space="preserve">нность конечного пункта доставки и отсутствие мощных грузоподъемных средств во </w:t>
      </w:r>
      <w:r>
        <w:rPr>
          <w:rFonts w:ascii="Tinos" w:hAnsi="Tinos" w:eastAsia="Tinos" w:cs="Tinos"/>
          <w:sz w:val="22"/>
          <w:szCs w:val="22"/>
        </w:rPr>
        <w:t xml:space="preserve">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9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</w:t>
      </w:r>
      <w:r>
        <w:rPr>
          <w:rFonts w:ascii="Tinos" w:hAnsi="Tinos" w:eastAsia="Tinos" w:cs="Tinos"/>
          <w:sz w:val="22"/>
          <w:szCs w:val="22"/>
        </w:rPr>
        <w:t xml:space="preserve">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hAnsi="Tinos" w:eastAsia="Tinos" w:cs="Tinos"/>
          <w:sz w:val="22"/>
          <w:szCs w:val="22"/>
        </w:rPr>
        <w:t xml:space="preserve">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пунктами 4.7.1. – 4.7.3. Договора, Поставщик уплачивает неустойку в размере 0,2% от стои</w:t>
      </w:r>
      <w:r>
        <w:rPr>
          <w:rFonts w:ascii="Tinos" w:hAnsi="Tinos" w:eastAsia="Tinos" w:cs="Tinos"/>
          <w:sz w:val="22"/>
          <w:szCs w:val="22"/>
        </w:rPr>
        <w:t xml:space="preserve">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hAnsi="Tinos" w:eastAsia="Tinos" w:cs="Tinos"/>
          <w:sz w:val="22"/>
          <w:szCs w:val="22"/>
        </w:rPr>
        <w:t xml:space="preserve"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</w:t>
      </w:r>
      <w:r>
        <w:rPr>
          <w:rFonts w:ascii="Tinos" w:hAnsi="Tinos" w:eastAsia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</w:t>
      </w:r>
      <w:r>
        <w:rPr>
          <w:rFonts w:ascii="Tinos" w:hAnsi="Tinos" w:eastAsia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57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</w:t>
      </w:r>
      <w:r>
        <w:rPr>
          <w:rFonts w:ascii="Tinos" w:hAnsi="Tinos" w:eastAsia="Tinos" w:cs="Tinos"/>
          <w:sz w:val="22"/>
          <w:szCs w:val="22"/>
        </w:rPr>
        <w:t xml:space="preserve"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</w:t>
      </w:r>
      <w:r>
        <w:rPr>
          <w:rFonts w:ascii="Tinos" w:hAnsi="Tinos" w:eastAsia="Tinos" w:cs="Tinos"/>
          <w:sz w:val="22"/>
          <w:szCs w:val="22"/>
        </w:rPr>
        <w:t xml:space="preserve">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hAnsi="Tinos" w:eastAsia="Tinos" w:cs="Tinos"/>
          <w:sz w:val="22"/>
          <w:szCs w:val="22"/>
        </w:rPr>
        <w:t xml:space="preserve">его предпринимательства, Поставщик уплачивает Покупателю штраф в размере 0,1% от стоимости договора</w:t>
      </w:r>
      <w:r>
        <w:rPr>
          <w:rStyle w:val="1018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</w:t>
      </w:r>
      <w:r>
        <w:rPr>
          <w:rFonts w:ascii="Tinos" w:hAnsi="Tinos" w:eastAsia="Tinos" w:cs="Tinos"/>
          <w:sz w:val="22"/>
          <w:szCs w:val="22"/>
        </w:rPr>
        <w:t xml:space="preserve">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</w:t>
      </w:r>
      <w:r>
        <w:rPr>
          <w:rFonts w:ascii="Tinos" w:hAnsi="Tinos" w:eastAsia="Tinos" w:cs="Tinos"/>
          <w:sz w:val="22"/>
          <w:szCs w:val="22"/>
        </w:rPr>
        <w:t xml:space="preserve">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</w:t>
      </w:r>
      <w:r>
        <w:rPr>
          <w:rFonts w:ascii="Tinos" w:hAnsi="Tinos" w:eastAsia="Tinos" w:cs="Tinos"/>
          <w:sz w:val="22"/>
          <w:szCs w:val="22"/>
        </w:rPr>
        <w:t xml:space="preserve">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</w:t>
      </w:r>
      <w:r>
        <w:rPr>
          <w:rFonts w:ascii="Tinos" w:hAnsi="Tinos" w:eastAsia="Tinos" w:cs="Tinos"/>
          <w:sz w:val="22"/>
          <w:szCs w:val="22"/>
        </w:rPr>
        <w:t xml:space="preserve">я, нарушения, расторжения, прекращения и действительности, по выбору истца подлежат </w:t>
      </w:r>
      <w:r>
        <w:rPr>
          <w:rFonts w:ascii="Tinos" w:hAnsi="Tinos" w:eastAsia="Tinos" w:cs="Tinos"/>
          <w:sz w:val="22"/>
          <w:szCs w:val="22"/>
        </w:rPr>
        <w:t xml:space="preserve">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</w:t>
      </w:r>
      <w:r>
        <w:rPr>
          <w:rFonts w:ascii="Tinos" w:hAnsi="Tinos" w:eastAsia="Tinos" w:cs="Tinos"/>
          <w:sz w:val="22"/>
          <w:szCs w:val="22"/>
        </w:rPr>
        <w:t xml:space="preserve">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</w:t>
      </w:r>
      <w:r>
        <w:rPr>
          <w:rFonts w:ascii="Tinos" w:hAnsi="Tinos" w:eastAsia="Tinos" w:cs="Tinos"/>
          <w:sz w:val="22"/>
          <w:szCs w:val="22"/>
        </w:rPr>
        <w:t xml:space="preserve">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0"/>
          <w:numId w:val="20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1" w:tooltip="mailto:tuvaenergo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</w:r>
        <w:r>
          <w:rPr>
            <w:rStyle w:val="1022"/>
            <w:rFonts w:ascii="Tinos" w:hAnsi="Tinos" w:eastAsia="Tinos" w:cs="Tinos"/>
            <w:sz w:val="22"/>
            <w:szCs w:val="22"/>
          </w:rPr>
        </w:r>
        <w:r>
          <w:rPr>
            <w:rStyle w:val="1022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Style w:val="1022"/>
            <w:rFonts w:ascii="Tinos" w:hAnsi="Tinos" w:eastAsia="Tinos" w:cs="Tinos"/>
            <w:sz w:val="22"/>
            <w:szCs w:val="22"/>
          </w:rPr>
        </w:r>
        <w:r>
          <w:rPr>
            <w:rStyle w:val="1022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0"/>
          <w:numId w:val="20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</w:t>
      </w:r>
      <w:r>
        <w:rPr>
          <w:rFonts w:ascii="Tinos" w:hAnsi="Tinos" w:eastAsia="Tinos" w:cs="Tinos"/>
          <w:sz w:val="22"/>
          <w:szCs w:val="22"/>
        </w:rPr>
        <w:t xml:space="preserve">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18"/>
          <w:rFonts w:ascii="Tinos" w:hAnsi="Tinos" w:eastAsia="Tinos" w:cs="Tinos"/>
          <w:b/>
          <w:bCs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язательств по Договору</w:t>
      </w:r>
      <w:r>
        <w:rPr>
          <w:rStyle w:val="1018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  <w:sz w:val="22"/>
          <w:szCs w:val="22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hAnsi="Tinos" w:eastAsia="Tinos" w:cs="Tinos"/>
          <w:sz w:val="22"/>
          <w:szCs w:val="22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  <w:sz w:val="22"/>
          <w:szCs w:val="22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  <w:sz w:val="22"/>
          <w:szCs w:val="22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hAnsi="Tinos" w:eastAsia="Tinos" w:cs="Tinos"/>
          <w:sz w:val="22"/>
          <w:szCs w:val="22"/>
        </w:rPr>
        <w:t xml:space="preserve"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</w:t>
      </w:r>
      <w:r>
        <w:rPr>
          <w:rFonts w:ascii="Tinos" w:hAnsi="Tinos" w:eastAsia="Tinos" w:cs="Tinos"/>
          <w:sz w:val="22"/>
          <w:szCs w:val="22"/>
        </w:rPr>
        <w:t xml:space="preserve"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</w:t>
      </w:r>
      <w:r>
        <w:rPr>
          <w:rFonts w:ascii="Tinos" w:hAnsi="Tinos" w:eastAsia="Tinos" w:cs="Tinos"/>
          <w:sz w:val="22"/>
          <w:szCs w:val="22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3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</w:t>
      </w:r>
      <w:r>
        <w:rPr>
          <w:rFonts w:ascii="Tinos" w:hAnsi="Tinos" w:eastAsia="Tinos" w:cs="Tinos"/>
          <w:sz w:val="22"/>
          <w:szCs w:val="22"/>
        </w:rPr>
        <w:t xml:space="preserve"> 13.3 Федерального закона от 25.12.2008 № 273-ФЗ «О противодействии коррупции», принимает меры по </w:t>
      </w:r>
      <w:r>
        <w:rPr>
          <w:rFonts w:ascii="Tinos" w:hAnsi="Tinos" w:eastAsia="Tinos" w:cs="Tinos"/>
          <w:sz w:val="22"/>
          <w:szCs w:val="22"/>
        </w:rPr>
        <w:t xml:space="preserve">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hAnsi="Tinos" w:eastAsia="Tinos" w:cs="Tinos"/>
          <w:sz w:val="22"/>
          <w:szCs w:val="22"/>
        </w:rPr>
        <w:t xml:space="preserve">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hAnsi="Tinos" w:eastAsia="Tinos" w:cs="Tinos"/>
          <w:sz w:val="22"/>
          <w:szCs w:val="22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http://www.tuvaenergo.ru/buy/c</w:t>
        </w:r>
        <w:r>
          <w:rPr>
            <w:rStyle w:val="1022"/>
            <w:rFonts w:ascii="Tinos" w:hAnsi="Tinos" w:eastAsia="Tinos" w:cs="Tinos"/>
            <w:sz w:val="22"/>
            <w:szCs w:val="22"/>
          </w:rPr>
          <w:t xml:space="preserve">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hAnsi="Tinos" w:eastAsia="Tinos" w:cs="Tinos"/>
          <w:sz w:val="22"/>
          <w:szCs w:val="22"/>
        </w:rPr>
        <w:t xml:space="preserve">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hAnsi="Tinos" w:eastAsia="Tinos" w:cs="Tinos"/>
          <w:sz w:val="22"/>
          <w:szCs w:val="22"/>
        </w:rPr>
        <w:t xml:space="preserve"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</w:t>
      </w:r>
      <w:r>
        <w:rPr>
          <w:rFonts w:ascii="Tinos" w:hAnsi="Tinos" w:eastAsia="Tinos" w:cs="Tinos"/>
          <w:sz w:val="22"/>
          <w:szCs w:val="22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hAnsi="Tinos" w:eastAsia="Tinos" w:cs="Tinos"/>
          <w:sz w:val="22"/>
          <w:szCs w:val="22"/>
        </w:rPr>
        <w:t xml:space="preserve">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hAnsi="Tinos" w:eastAsia="Tinos" w:cs="Tinos"/>
          <w:sz w:val="22"/>
          <w:szCs w:val="22"/>
        </w:rPr>
        <w:t xml:space="preserve"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hAnsi="Tinos" w:eastAsia="Tinos" w:cs="Tinos"/>
          <w:sz w:val="22"/>
          <w:szCs w:val="22"/>
        </w:rPr>
        <w:t xml:space="preserve">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hAnsi="Tinos" w:eastAsia="Tinos" w:cs="Tinos"/>
          <w:sz w:val="22"/>
          <w:szCs w:val="22"/>
        </w:rPr>
        <w:t xml:space="preserve">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hAnsi="Tinos" w:eastAsia="Tinos" w:cs="Tinos"/>
          <w:sz w:val="22"/>
          <w:szCs w:val="22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hAnsi="Tinos" w:eastAsia="Tinos" w:cs="Tinos"/>
          <w:sz w:val="22"/>
          <w:szCs w:val="22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hAnsi="Tinos" w:eastAsia="Tinos" w:cs="Tinos"/>
          <w:sz w:val="22"/>
          <w:szCs w:val="22"/>
        </w:rPr>
        <w:t xml:space="preserve">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</w:t>
      </w:r>
      <w:r>
        <w:rPr>
          <w:rFonts w:ascii="Tinos" w:hAnsi="Tinos" w:eastAsia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</w:t>
      </w:r>
      <w:r>
        <w:rPr>
          <w:rFonts w:ascii="Tinos" w:hAnsi="Tinos" w:eastAsia="Tinos" w:cs="Tinos"/>
          <w:b/>
          <w:sz w:val="22"/>
          <w:szCs w:val="22"/>
        </w:rPr>
        <w:t xml:space="preserve">а требования</w:t>
      </w:r>
      <w:r>
        <w:rPr>
          <w:rStyle w:val="1018"/>
          <w:rFonts w:ascii="Tinos" w:hAnsi="Tinos" w:eastAsia="Tinos" w:cs="Tinos"/>
          <w:b/>
          <w:sz w:val="22"/>
          <w:szCs w:val="22"/>
        </w:rPr>
        <w:footnoteReference w:id="7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</w:t>
      </w:r>
      <w:r>
        <w:rPr>
          <w:rFonts w:ascii="Tinos" w:hAnsi="Tinos" w:eastAsia="Tinos" w:cs="Tinos"/>
          <w:sz w:val="22"/>
          <w:szCs w:val="22"/>
        </w:rPr>
        <w:t xml:space="preserve">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</w:t>
      </w:r>
      <w:r>
        <w:rPr>
          <w:rFonts w:ascii="Tinos" w:hAnsi="Tinos" w:eastAsia="Tinos" w:cs="Tinos"/>
          <w:sz w:val="22"/>
          <w:szCs w:val="22"/>
        </w:rPr>
        <w:t xml:space="preserve">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</w:t>
      </w:r>
      <w:r>
        <w:rPr>
          <w:rFonts w:ascii="Tinos" w:hAnsi="Tinos" w:eastAsia="Tinos" w:cs="Tinos"/>
          <w:sz w:val="22"/>
          <w:szCs w:val="22"/>
        </w:rPr>
        <w:t xml:space="preserve">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hAnsi="Tinos" w:eastAsia="Tinos" w:cs="Tinos"/>
          <w:sz w:val="22"/>
          <w:szCs w:val="22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</w:t>
      </w:r>
      <w:r>
        <w:rPr>
          <w:rFonts w:ascii="Tinos" w:hAnsi="Tinos" w:eastAsia="Tinos" w:cs="Tinos"/>
          <w:sz w:val="22"/>
          <w:szCs w:val="22"/>
        </w:rPr>
        <w:t xml:space="preserve">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</w:t>
      </w:r>
      <w:r>
        <w:rPr>
          <w:rFonts w:ascii="Tinos" w:hAnsi="Tinos" w:eastAsia="Tinos" w:cs="Tinos"/>
          <w:sz w:val="22"/>
          <w:szCs w:val="22"/>
        </w:rPr>
        <w:t xml:space="preserve"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hAnsi="Tinos" w:eastAsia="Tinos" w:cs="Tinos"/>
          <w:sz w:val="22"/>
          <w:szCs w:val="22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</w:t>
      </w:r>
      <w:r>
        <w:rPr>
          <w:rFonts w:ascii="Tinos" w:hAnsi="Tinos" w:eastAsia="Tinos" w:cs="Tinos"/>
          <w:sz w:val="22"/>
          <w:szCs w:val="22"/>
        </w:rPr>
        <w:t xml:space="preserve"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hAnsi="Tinos" w:eastAsia="Tinos" w:cs="Tinos"/>
          <w:sz w:val="22"/>
          <w:szCs w:val="22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nos" w:hAnsi="Tinos" w:eastAsia="Tinos" w:cs="Tinos"/>
          <w:sz w:val="22"/>
          <w:szCs w:val="22"/>
        </w:rPr>
        <w:t xml:space="preserve"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nos" w:hAnsi="Tinos" w:eastAsia="Tinos" w:cs="Tinos"/>
          <w:sz w:val="22"/>
          <w:szCs w:val="22"/>
        </w:rPr>
        <w:t xml:space="preserve"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nos" w:hAnsi="Tinos" w:eastAsia="Tinos" w:cs="Tinos"/>
          <w:sz w:val="22"/>
          <w:szCs w:val="22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nos" w:hAnsi="Tinos" w:eastAsia="Tinos" w:cs="Tinos"/>
          <w:sz w:val="22"/>
          <w:szCs w:val="22"/>
        </w:rPr>
        <w:t xml:space="preserve"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nos" w:hAnsi="Tinos" w:eastAsia="Tinos" w:cs="Tinos"/>
          <w:sz w:val="22"/>
          <w:szCs w:val="22"/>
        </w:rPr>
        <w:t xml:space="preserve">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hAnsi="Tinos" w:eastAsia="Tinos" w:cs="Tinos"/>
          <w:sz w:val="22"/>
          <w:szCs w:val="22"/>
        </w:rPr>
        <w:t xml:space="preserve">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hAnsi="Tinos" w:eastAsia="Tinos" w:cs="Tinos"/>
          <w:sz w:val="22"/>
          <w:szCs w:val="22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hAnsi="Tinos" w:eastAsia="Tinos" w:cs="Tinos"/>
          <w:sz w:val="22"/>
          <w:szCs w:val="22"/>
        </w:rPr>
        <w:t xml:space="preserve">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hAnsi="Tinos" w:eastAsia="Tinos" w:cs="Tinos"/>
          <w:sz w:val="22"/>
          <w:szCs w:val="22"/>
        </w:rPr>
        <w:t xml:space="preserve">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hAnsi="Tinos" w:eastAsia="Tinos" w:cs="Tinos"/>
          <w:sz w:val="22"/>
          <w:szCs w:val="22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hAnsi="Tinos" w:eastAsia="Tinos" w:cs="Tinos"/>
          <w:sz w:val="22"/>
          <w:szCs w:val="22"/>
        </w:rPr>
        <w:t xml:space="preserve"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nos" w:hAnsi="Tinos" w:eastAsia="Tinos" w:cs="Tinos"/>
          <w:sz w:val="22"/>
          <w:szCs w:val="22"/>
        </w:rPr>
        <w:t xml:space="preserve">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отраж</w:t>
      </w:r>
      <w:r>
        <w:rPr>
          <w:rFonts w:ascii="Tinos" w:hAnsi="Tinos" w:eastAsia="Tinos" w:cs="Tinos"/>
          <w:sz w:val="22"/>
          <w:szCs w:val="22"/>
        </w:rPr>
        <w:t xml:space="preserve">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 нарушит гарантии (любую одну, несколько </w:t>
      </w:r>
      <w:r>
        <w:rPr>
          <w:rFonts w:ascii="Tinos" w:hAnsi="Tinos" w:eastAsia="Tinos" w:cs="Tinos"/>
          <w:sz w:val="22"/>
          <w:szCs w:val="22"/>
        </w:rPr>
        <w:t xml:space="preserve">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nos" w:hAnsi="Tinos" w:eastAsia="Tinos" w:cs="Tinos"/>
          <w:sz w:val="22"/>
          <w:szCs w:val="22"/>
        </w:rPr>
        <w:t xml:space="preserve">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3"/>
        <w:numPr>
          <w:ilvl w:val="0"/>
          <w:numId w:val="12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</w:t>
      </w:r>
      <w:r>
        <w:rPr>
          <w:rFonts w:ascii="Tinos" w:hAnsi="Tinos" w:eastAsia="Tinos" w:cs="Tinos"/>
          <w:sz w:val="22"/>
          <w:szCs w:val="22"/>
        </w:rPr>
        <w:t xml:space="preserve"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</w:t>
      </w:r>
      <w:r>
        <w:rPr>
          <w:rFonts w:ascii="Tinos" w:hAnsi="Tinos" w:eastAsia="Tinos" w:cs="Tinos"/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0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</w:t>
      </w:r>
      <w:r>
        <w:rPr>
          <w:rFonts w:ascii="Tinos" w:hAnsi="Tinos" w:eastAsia="Tinos" w:cs="Tinos"/>
          <w:sz w:val="22"/>
          <w:szCs w:val="22"/>
        </w:rPr>
        <w:t xml:space="preserve">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22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22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22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22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22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22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22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22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22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05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hAnsi="Tinos" w:eastAsia="Tinos" w:cs="Tinos"/>
          <w:bCs/>
          <w:sz w:val="22"/>
          <w:szCs w:val="22"/>
        </w:rPr>
        <w:t xml:space="preserve"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</w:t>
      </w:r>
      <w:r>
        <w:rPr>
          <w:rFonts w:ascii="Tinos" w:hAnsi="Tinos" w:eastAsia="Tinos" w:cs="Tinos"/>
          <w:sz w:val="22"/>
          <w:szCs w:val="22"/>
        </w:rPr>
        <w:t xml:space="preserve">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hAnsi="Tinos" w:eastAsia="Tinos" w:cs="Tinos"/>
          <w:sz w:val="22"/>
          <w:szCs w:val="22"/>
        </w:rPr>
        <w:t xml:space="preserve">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hAnsi="Tinos" w:eastAsia="Tinos" w:cs="Tinos"/>
          <w:sz w:val="22"/>
          <w:szCs w:val="22"/>
        </w:rPr>
        <w:t xml:space="preserve"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hAnsi="Tinos" w:eastAsia="Tinos" w:cs="Tinos"/>
          <w:sz w:val="22"/>
          <w:szCs w:val="22"/>
        </w:rPr>
        <w:t xml:space="preserve">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2" w:tooltip="mailto:BaturinNV@tv.rosseti-sib.ru" w:history="1">
        <w:r>
          <w:rPr>
            <w:rStyle w:val="1022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</w:t>
      </w:r>
      <w:r>
        <w:rPr>
          <w:rFonts w:ascii="Tinos" w:hAnsi="Tinos" w:eastAsia="Tinos" w:cs="Tinos"/>
          <w:sz w:val="22"/>
          <w:szCs w:val="22"/>
        </w:rPr>
        <w:t xml:space="preserve"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3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</w:t>
      </w: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</w:t>
      </w:r>
      <w:r>
        <w:rPr>
          <w:rFonts w:ascii="Tinos" w:hAnsi="Tinos" w:eastAsia="Tinos" w:cs="Tinos"/>
          <w:b/>
          <w:sz w:val="22"/>
          <w:szCs w:val="22"/>
        </w:rPr>
        <w:t xml:space="preserve">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>
        <w:tblPrEx/>
        <w:trPr>
          <w:trHeight w:val="411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23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15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9" w:bottom="567" w:left="851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15"/>
        <w:numPr>
          <w:ilvl w:val="0"/>
          <w:numId w:val="0"/>
        </w:numPr>
        <w:jc w:val="right"/>
        <w:keepNext w:val="0"/>
        <w:spacing w:before="0" w:after="0" w:afterAutospacing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left"/>
        <w:spacing w:after="0" w:afterAutospacing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</w:t>
      </w:r>
      <w:r>
        <w:rPr>
          <w:rFonts w:ascii="Tinos" w:hAnsi="Tinos" w:eastAsia="Tinos" w:cs="Tinos"/>
          <w:bCs/>
          <w:sz w:val="22"/>
          <w:szCs w:val="22"/>
        </w:rPr>
        <w:t xml:space="preserve">ПЕЦИФИКАЦИ</w:t>
      </w:r>
      <w:r>
        <w:rPr>
          <w:rFonts w:ascii="Tinos" w:hAnsi="Tinos" w:eastAsia="Tinos" w:cs="Tinos"/>
          <w:bCs/>
          <w:sz w:val="22"/>
          <w:szCs w:val="22"/>
        </w:rPr>
        <w:t xml:space="preserve">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tbl>
      <w:tblPr>
        <w:tblpPr w:horzAnchor="page" w:tblpX="992" w:vertAnchor="page" w:tblpY="3116" w:leftFromText="180" w:topFromText="0" w:rightFromText="180" w:bottomFromText="0"/>
        <w:tblW w:w="150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4252"/>
        <w:gridCol w:w="2173"/>
        <w:gridCol w:w="1937"/>
        <w:gridCol w:w="850"/>
        <w:gridCol w:w="709"/>
        <w:gridCol w:w="1276"/>
        <w:gridCol w:w="1417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22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3418000449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 45х24х12 под расш бак ТМ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32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2531100067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над изолятором тип ВН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172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3449900065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над изолятором тип НН 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187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3449900066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над изолятором тип НН II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216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8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3449900067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над изолятором тип НН III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14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3449900071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под изолятор тип ВН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172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3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3449900072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под изолятор тип НН 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0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3449900073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под изолятор тип НН II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192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9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2531100041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Кольцо уплотн. под изолятор тип НН III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177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10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3449950109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Отстойник расширительного бака к ТМ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3418000936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Прокладка маслоук. транс. L190мм овал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3418000938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Стекло маслоуказ. транс. L190мм овал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3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2216210001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Трубка Plexiglas XT 12х8х1000мм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7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2216210002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Трубка Plexiglas XT 16х12х1000мм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2216210003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Трубка Plexiglas XT 20х16х1000мм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3418000532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контакт. НН к ТМ 250 М16х2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3418000554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Прокладка отстойника расшир. бака ТМ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18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3418001006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Шпилька ВН М12х1,75 ЛС-59-1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19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3429400066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Головка ПТРЛ в сборе к ТМ 10/0,4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3449900062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контакт. НН к ТМ 160 М12х1,75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21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3449900063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контакт. НН к ТМ 400 М20х1,5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3449900064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Зажим контакт. НН к ТМ 630 М27х1,5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12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23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3491000025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Головка изоляторная ф 12 НН 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24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3491000026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Головка изоляторная ф 16 НН II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3491000027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Головка изоляторная ф 20 НН III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14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26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3418000965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Головка изоляторная ф12 ВН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1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30</w:t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13606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13606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3606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13"/>
        <w:ind w:firstLine="0"/>
        <w:jc w:val="left"/>
        <w:spacing w:before="0" w:after="0" w:afterAutospacing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eastAsia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13"/>
        <w:ind w:firstLine="0"/>
        <w:jc w:val="left"/>
        <w:spacing w:before="0" w:after="0" w:afterAutospacing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</w:t>
      </w:r>
      <w:r>
        <w:rPr>
          <w:rFonts w:ascii="Tinos" w:hAnsi="Tinos" w:eastAsia="Tinos" w:cs="Tinos"/>
          <w:sz w:val="20"/>
          <w:szCs w:val="20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    Срок поставки: </w:t>
      </w:r>
      <w:r>
        <w:rPr>
          <w:rFonts w:ascii="Tinos" w:hAnsi="Tinos" w:eastAsia="Tinos" w:cs="Tinos"/>
          <w:sz w:val="22"/>
          <w:szCs w:val="22"/>
        </w:rPr>
        <w:t xml:space="preserve">в период с 01.12.2025 г. по 30.12.2025</w:t>
      </w:r>
      <w:r>
        <w:rPr>
          <w:rFonts w:ascii="Tinos" w:hAnsi="Tinos" w:eastAsia="Tinos" w:cs="Tinos"/>
          <w:sz w:val="22"/>
          <w:szCs w:val="22"/>
        </w:rPr>
        <w:t xml:space="preserve"> г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Транспортные расходы уч</w:t>
      </w:r>
      <w:r>
        <w:rPr>
          <w:rFonts w:ascii="Tinos" w:hAnsi="Tinos" w:eastAsia="Tinos" w:cs="Tinos"/>
          <w:sz w:val="22"/>
          <w:szCs w:val="22"/>
        </w:rPr>
        <w:t xml:space="preserve">тены в стоимости товара.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eastAsia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  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                                ПОСТАВЩИК</w:t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eastAsia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   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</w:r>
    </w:p>
    <w:p>
      <w:pPr>
        <w:spacing w:after="0" w:afterAutospacing="0" w:line="17" w:lineRule="atLeast"/>
        <w:widowControl w:val="off"/>
        <w:rPr>
          <w:rFonts w:ascii="Tinos" w:hAnsi="Tinos" w:eastAsia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    _____________________/</w:t>
      </w:r>
      <w:r>
        <w:rPr>
          <w:rFonts w:ascii="Tinos" w:hAnsi="Tinos" w:eastAsia="Tinos" w:cs="Tinos"/>
          <w:sz w:val="22"/>
          <w:szCs w:val="22"/>
        </w:rPr>
        <w:t xml:space="preserve"> А.В. Лукин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        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М.П.                             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  <w:sectPr>
          <w:footnotePr/>
          <w:endnotePr/>
          <w:type w:val="nextPage"/>
          <w:pgSz w:w="16838" w:h="11906" w:orient="landscape"/>
          <w:pgMar w:top="993" w:right="709" w:bottom="991" w:left="567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afterAutospacing="0" w:line="17" w:lineRule="atLeast"/>
        <w:widowControl w:val="off"/>
        <w:rPr>
          <w:rFonts w:ascii="Tinos" w:hAnsi="Tinos" w:cs="Tinos"/>
          <w:b/>
          <w:cap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bookmarkStart w:id="1" w:name="_Toc359424111"/>
      <w:r>
        <w:rPr>
          <w:rFonts w:ascii="Tinos" w:hAnsi="Tinos" w:eastAsia="Tinos" w:cs="Tinos"/>
          <w:b/>
          <w:caps/>
          <w:sz w:val="22"/>
          <w:szCs w:val="22"/>
        </w:rPr>
        <w:t xml:space="preserve">СО 6.1401/0</w:t>
      </w:r>
      <w:bookmarkEnd w:id="1"/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spacing w:after="0" w:afterAutospacing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2"/>
          <w:szCs w:val="22"/>
        </w:rPr>
        <w:t xml:space="preserve">   </w:t>
      </w:r>
      <w:r>
        <w:rPr>
          <w:rFonts w:ascii="Tinos" w:hAnsi="Tinos" w:eastAsia="Tinos" w:cs="Tinos"/>
          <w:sz w:val="20"/>
          <w:szCs w:val="20"/>
        </w:rPr>
        <w:t xml:space="preserve">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</w:t>
      </w:r>
      <w:r>
        <w:rPr>
          <w:rFonts w:ascii="Tinos" w:hAnsi="Tinos" w:eastAsia="Tinos" w:cs="Tinos"/>
          <w:sz w:val="20"/>
          <w:szCs w:val="20"/>
        </w:rPr>
        <w:t xml:space="preserve">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hAnsi="Tinos" w:eastAsia="Tinos" w:cs="Tinos"/>
          <w:sz w:val="20"/>
          <w:szCs w:val="20"/>
        </w:rPr>
        <w:t xml:space="preserve">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hAnsi="Tinos" w:eastAsia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hAnsi="Tinos" w:eastAsia="Tinos" w:cs="Tinos"/>
          <w:sz w:val="20"/>
          <w:szCs w:val="20"/>
        </w:rPr>
        <w:t xml:space="preserve"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</w:t>
      </w:r>
      <w:r>
        <w:rPr>
          <w:rFonts w:ascii="Tinos" w:hAnsi="Tinos" w:eastAsia="Tinos" w:cs="Tinos"/>
          <w:sz w:val="20"/>
          <w:szCs w:val="20"/>
        </w:rPr>
        <w:t xml:space="preserve">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hAnsi="Tinos" w:eastAsia="Tinos" w:cs="Tinos"/>
          <w:sz w:val="20"/>
          <w:szCs w:val="20"/>
        </w:rPr>
        <w:t xml:space="preserve">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</w:t>
      </w:r>
      <w:r>
        <w:rPr>
          <w:rFonts w:ascii="Tinos" w:hAnsi="Tinos" w:eastAsia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</w:t>
      </w:r>
      <w:r>
        <w:rPr>
          <w:rFonts w:ascii="Tinos" w:hAnsi="Tinos" w:eastAsia="Tinos" w:cs="Tinos"/>
          <w:sz w:val="20"/>
          <w:szCs w:val="20"/>
        </w:rPr>
        <w:t xml:space="preserve">оящее согласие: со дня его подписания до момента фактического </w:t>
      </w:r>
      <w:r>
        <w:rPr>
          <w:rFonts w:ascii="Tinos" w:hAnsi="Tinos" w:eastAsia="Tinos" w:cs="Tinos"/>
          <w:sz w:val="20"/>
          <w:szCs w:val="20"/>
        </w:rPr>
        <w:t xml:space="preserve">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</w:t>
      </w:r>
      <w:r>
        <w:rPr>
          <w:rFonts w:ascii="Tinos" w:hAnsi="Tinos" w:eastAsia="Tinos" w:cs="Tinos"/>
          <w:sz w:val="20"/>
          <w:szCs w:val="20"/>
        </w:rPr>
        <w:t xml:space="preserve">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nos" w:hAnsi="Tinos" w:eastAsia="Tinos" w:cs="Tinos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nos" w:hAnsi="Tinos" w:eastAsia="Tinos" w:cs="Tinos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</w:t>
      </w:r>
      <w:r>
        <w:rPr>
          <w:rFonts w:ascii="Tinos" w:hAnsi="Tinos" w:eastAsia="Tinos" w:cs="Tinos"/>
          <w:sz w:val="20"/>
          <w:szCs w:val="20"/>
        </w:rPr>
        <w:t xml:space="preserve"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nos" w:hAnsi="Tinos" w:eastAsia="Tinos" w:cs="Tinos"/>
          <w:sz w:val="20"/>
          <w:szCs w:val="20"/>
        </w:rPr>
        <w:t xml:space="preserve"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</w:t>
      </w:r>
      <w:r>
        <w:rPr>
          <w:rFonts w:ascii="Tinos" w:hAnsi="Tinos" w:eastAsia="Tinos" w:cs="Tinos"/>
          <w:sz w:val="20"/>
          <w:szCs w:val="20"/>
        </w:rPr>
        <w:t xml:space="preserve"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nos" w:hAnsi="Tinos" w:eastAsia="Tinos" w:cs="Tinos"/>
          <w:sz w:val="20"/>
          <w:szCs w:val="20"/>
        </w:rPr>
        <w:t xml:space="preserve"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nos" w:hAnsi="Tinos" w:eastAsia="Tinos" w:cs="Tinos"/>
          <w:sz w:val="20"/>
          <w:szCs w:val="20"/>
        </w:rPr>
        <w:t xml:space="preserve"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nos" w:hAnsi="Tinos" w:eastAsia="Tinos" w:cs="Tinos"/>
          <w:sz w:val="20"/>
          <w:szCs w:val="20"/>
        </w:rPr>
        <w:t xml:space="preserve"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i/>
                <w:sz w:val="22"/>
                <w:szCs w:val="22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center"/>
        <w:spacing w:after="0" w:line="17" w:lineRule="atLeast"/>
        <w:rPr>
          <w:rFonts w:ascii="Times New Roman" w:hAnsi="Times New Roman" w:eastAsia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          Приложение № 4</w:t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33"/>
        <w:numPr>
          <w:ilvl w:val="0"/>
          <w:numId w:val="15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3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1"/>
          <w:numId w:val="14"/>
        </w:numPr>
        <w:ind w:left="0" w:firstLine="0"/>
        <w:jc w:val="both"/>
        <w:spacing w:after="0" w:afterAutospacing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организационно-ра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3"/>
        <w:numPr>
          <w:ilvl w:val="0"/>
          <w:numId w:val="14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/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afterAutospacing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firstLine="709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continuous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2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1028"/>
    </w:pPr>
    <w:r/>
    <w:r/>
  </w:p>
  <w:p>
    <w:pPr>
      <w:pStyle w:val="1028"/>
    </w:pPr>
    <w:r/>
    <w:r/>
  </w:p>
  <w:p>
    <w:pPr>
      <w:pStyle w:val="10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00"/>
        <w:jc w:val="both"/>
        <w:spacing w:before="0" w:after="0"/>
        <w:rPr>
          <w:rFonts w:ascii="Tinos" w:hAnsi="Tinos" w:cs="Tinos"/>
          <w:i/>
          <w:sz w:val="18"/>
          <w:szCs w:val="18"/>
        </w:rPr>
      </w:pPr>
      <w:r>
        <w:rPr>
          <w:rStyle w:val="1018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56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57"/>
          <w:rFonts w:ascii="Tinos" w:hAnsi="Tinos" w:eastAsia="Tinos" w:cs="Tinos"/>
          <w:sz w:val="18"/>
          <w:szCs w:val="18"/>
        </w:rPr>
        <w:footnoteRef/>
      </w:r>
      <w:r>
        <w:rPr>
          <w:rStyle w:val="1057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1000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hAnsi="Tinos" w:eastAsia="Tinos" w:cs="Tinos"/>
          <w:i/>
          <w:sz w:val="18"/>
          <w:szCs w:val="18"/>
        </w:rPr>
        <w:t xml:space="preserve">те Поставщика поданной на участие в закупочной процедуре.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5">
    <w:p>
      <w:pPr>
        <w:pStyle w:val="1000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00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</w:t>
      </w:r>
      <w:r>
        <w:rPr>
          <w:rFonts w:ascii="Tinos" w:hAnsi="Tinos" w:eastAsia="Tinos" w:cs="Tinos"/>
          <w:i/>
          <w:sz w:val="18"/>
          <w:szCs w:val="18"/>
        </w:rPr>
        <w:t xml:space="preserve">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00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ктами малого и среднего предпринимательства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pStyle w:val="1014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15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16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styleLink w:val="1019"/>
    <w:lvl w:ilvl="0">
      <w:start w:val="2"/>
      <w:numFmt w:val="decimal"/>
      <w:pStyle w:val="101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3"/>
  </w:num>
  <w:num w:numId="15">
    <w:abstractNumId w:val="5"/>
  </w:num>
  <w:num w:numId="16">
    <w:abstractNumId w:val="12"/>
  </w:num>
  <w:num w:numId="17">
    <w:abstractNumId w:val="14"/>
  </w:num>
  <w:num w:numId="18">
    <w:abstractNumId w:val="17"/>
  </w:num>
  <w:num w:numId="19">
    <w:abstractNumId w:val="18"/>
  </w:num>
  <w:num w:numId="20">
    <w:abstractNumId w:val="19"/>
  </w:num>
  <w:num w:numId="21">
    <w:abstractNumId w:val="2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2">
    <w:abstractNumId w:val="21"/>
  </w:num>
  <w:num w:numId="23">
    <w:abstractNumId w:val="22"/>
  </w:num>
  <w:num w:numId="24">
    <w:abstractNumId w:val="23"/>
  </w:num>
  <w:num w:numId="25">
    <w:abstractNumId w:val="2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9">
    <w:name w:val="Heading 2 Char"/>
    <w:basedOn w:val="839"/>
    <w:link w:val="831"/>
    <w:uiPriority w:val="9"/>
    <w:rPr>
      <w:rFonts w:ascii="Arial" w:hAnsi="Arial" w:eastAsia="Arial" w:cs="Arial"/>
      <w:sz w:val="34"/>
    </w:rPr>
  </w:style>
  <w:style w:type="character" w:styleId="820">
    <w:name w:val="Heading 4 Char"/>
    <w:basedOn w:val="839"/>
    <w:link w:val="833"/>
    <w:uiPriority w:val="9"/>
    <w:rPr>
      <w:rFonts w:ascii="Arial" w:hAnsi="Arial" w:eastAsia="Arial" w:cs="Arial"/>
      <w:b/>
      <w:bCs/>
      <w:sz w:val="26"/>
      <w:szCs w:val="26"/>
    </w:rPr>
  </w:style>
  <w:style w:type="character" w:styleId="821">
    <w:name w:val="Heading 5 Char"/>
    <w:basedOn w:val="839"/>
    <w:link w:val="834"/>
    <w:uiPriority w:val="9"/>
    <w:rPr>
      <w:rFonts w:ascii="Arial" w:hAnsi="Arial" w:eastAsia="Arial" w:cs="Arial"/>
      <w:b/>
      <w:bCs/>
      <w:sz w:val="24"/>
      <w:szCs w:val="24"/>
    </w:rPr>
  </w:style>
  <w:style w:type="character" w:styleId="822">
    <w:name w:val="Heading 6 Char"/>
    <w:basedOn w:val="839"/>
    <w:link w:val="835"/>
    <w:uiPriority w:val="9"/>
    <w:rPr>
      <w:rFonts w:ascii="Arial" w:hAnsi="Arial" w:eastAsia="Arial" w:cs="Arial"/>
      <w:b/>
      <w:bCs/>
      <w:sz w:val="22"/>
      <w:szCs w:val="22"/>
    </w:rPr>
  </w:style>
  <w:style w:type="character" w:styleId="823">
    <w:name w:val="Heading 7 Char"/>
    <w:basedOn w:val="839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>
    <w:name w:val="Heading 8 Char"/>
    <w:basedOn w:val="839"/>
    <w:link w:val="837"/>
    <w:uiPriority w:val="9"/>
    <w:rPr>
      <w:rFonts w:ascii="Arial" w:hAnsi="Arial" w:eastAsia="Arial" w:cs="Arial"/>
      <w:i/>
      <w:iCs/>
      <w:sz w:val="22"/>
      <w:szCs w:val="22"/>
    </w:rPr>
  </w:style>
  <w:style w:type="character" w:styleId="825">
    <w:name w:val="Heading 9 Char"/>
    <w:basedOn w:val="839"/>
    <w:link w:val="838"/>
    <w:uiPriority w:val="9"/>
    <w:rPr>
      <w:rFonts w:ascii="Arial" w:hAnsi="Arial" w:eastAsia="Arial" w:cs="Arial"/>
      <w:i/>
      <w:iCs/>
      <w:sz w:val="21"/>
      <w:szCs w:val="21"/>
    </w:rPr>
  </w:style>
  <w:style w:type="character" w:styleId="826">
    <w:name w:val="Subtitle Char"/>
    <w:basedOn w:val="839"/>
    <w:link w:val="852"/>
    <w:uiPriority w:val="11"/>
    <w:rPr>
      <w:sz w:val="24"/>
      <w:szCs w:val="24"/>
    </w:rPr>
  </w:style>
  <w:style w:type="character" w:styleId="827">
    <w:name w:val="Quote Char"/>
    <w:link w:val="854"/>
    <w:uiPriority w:val="29"/>
    <w:rPr>
      <w:i/>
    </w:rPr>
  </w:style>
  <w:style w:type="character" w:styleId="828">
    <w:name w:val="Intense Quote Char"/>
    <w:link w:val="856"/>
    <w:uiPriority w:val="30"/>
    <w:rPr>
      <w:i/>
    </w:rPr>
  </w:style>
  <w:style w:type="paragraph" w:styleId="829" w:default="1">
    <w:name w:val="Normal"/>
    <w:qFormat/>
  </w:style>
  <w:style w:type="paragraph" w:styleId="830">
    <w:name w:val="Heading 1"/>
    <w:basedOn w:val="829"/>
    <w:next w:val="829"/>
    <w:link w:val="102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31">
    <w:name w:val="Heading 2"/>
    <w:basedOn w:val="829"/>
    <w:next w:val="829"/>
    <w:link w:val="84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32">
    <w:name w:val="Heading 3"/>
    <w:basedOn w:val="829"/>
    <w:next w:val="829"/>
    <w:link w:val="1021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33">
    <w:name w:val="Heading 4"/>
    <w:basedOn w:val="829"/>
    <w:next w:val="829"/>
    <w:link w:val="84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4">
    <w:name w:val="Heading 5"/>
    <w:basedOn w:val="829"/>
    <w:next w:val="829"/>
    <w:link w:val="84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5">
    <w:name w:val="Heading 6"/>
    <w:basedOn w:val="829"/>
    <w:next w:val="829"/>
    <w:link w:val="84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36">
    <w:name w:val="Heading 7"/>
    <w:basedOn w:val="829"/>
    <w:next w:val="829"/>
    <w:link w:val="84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37">
    <w:name w:val="Heading 8"/>
    <w:basedOn w:val="829"/>
    <w:next w:val="829"/>
    <w:link w:val="84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38">
    <w:name w:val="Heading 9"/>
    <w:basedOn w:val="829"/>
    <w:next w:val="829"/>
    <w:link w:val="85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character" w:styleId="842" w:customStyle="1">
    <w:name w:val="Heading 1 Char"/>
    <w:basedOn w:val="839"/>
    <w:uiPriority w:val="9"/>
    <w:rPr>
      <w:rFonts w:ascii="Arial" w:hAnsi="Arial" w:eastAsia="Arial" w:cs="Arial"/>
      <w:sz w:val="40"/>
      <w:szCs w:val="40"/>
    </w:rPr>
  </w:style>
  <w:style w:type="character" w:styleId="843" w:customStyle="1">
    <w:name w:val="Заголовок 2 Знак"/>
    <w:basedOn w:val="839"/>
    <w:link w:val="831"/>
    <w:uiPriority w:val="9"/>
    <w:rPr>
      <w:rFonts w:ascii="Arial" w:hAnsi="Arial" w:eastAsia="Arial" w:cs="Arial"/>
      <w:sz w:val="34"/>
    </w:rPr>
  </w:style>
  <w:style w:type="character" w:styleId="844" w:customStyle="1">
    <w:name w:val="Heading 3 Char"/>
    <w:basedOn w:val="839"/>
    <w:uiPriority w:val="9"/>
    <w:rPr>
      <w:rFonts w:ascii="Arial" w:hAnsi="Arial" w:eastAsia="Arial" w:cs="Arial"/>
      <w:sz w:val="30"/>
      <w:szCs w:val="30"/>
    </w:rPr>
  </w:style>
  <w:style w:type="character" w:styleId="845" w:customStyle="1">
    <w:name w:val="Заголовок 4 Знак"/>
    <w:basedOn w:val="839"/>
    <w:link w:val="833"/>
    <w:uiPriority w:val="9"/>
    <w:rPr>
      <w:rFonts w:ascii="Arial" w:hAnsi="Arial" w:eastAsia="Arial" w:cs="Arial"/>
      <w:b/>
      <w:bCs/>
      <w:sz w:val="26"/>
      <w:szCs w:val="26"/>
    </w:rPr>
  </w:style>
  <w:style w:type="character" w:styleId="846" w:customStyle="1">
    <w:name w:val="Заголовок 5 Знак"/>
    <w:basedOn w:val="839"/>
    <w:link w:val="834"/>
    <w:uiPriority w:val="9"/>
    <w:rPr>
      <w:rFonts w:ascii="Arial" w:hAnsi="Arial" w:eastAsia="Arial" w:cs="Arial"/>
      <w:b/>
      <w:bCs/>
      <w:sz w:val="24"/>
      <w:szCs w:val="24"/>
    </w:rPr>
  </w:style>
  <w:style w:type="character" w:styleId="847" w:customStyle="1">
    <w:name w:val="Заголовок 6 Знак"/>
    <w:basedOn w:val="839"/>
    <w:link w:val="835"/>
    <w:uiPriority w:val="9"/>
    <w:rPr>
      <w:rFonts w:ascii="Arial" w:hAnsi="Arial" w:eastAsia="Arial" w:cs="Arial"/>
      <w:b/>
      <w:bCs/>
      <w:sz w:val="22"/>
      <w:szCs w:val="22"/>
    </w:rPr>
  </w:style>
  <w:style w:type="character" w:styleId="848" w:customStyle="1">
    <w:name w:val="Заголовок 7 Знак"/>
    <w:basedOn w:val="839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9" w:customStyle="1">
    <w:name w:val="Заголовок 8 Знак"/>
    <w:basedOn w:val="839"/>
    <w:link w:val="837"/>
    <w:uiPriority w:val="9"/>
    <w:rPr>
      <w:rFonts w:ascii="Arial" w:hAnsi="Arial" w:eastAsia="Arial" w:cs="Arial"/>
      <w:i/>
      <w:iCs/>
      <w:sz w:val="22"/>
      <w:szCs w:val="22"/>
    </w:rPr>
  </w:style>
  <w:style w:type="character" w:styleId="850" w:customStyle="1">
    <w:name w:val="Заголовок 9 Знак"/>
    <w:basedOn w:val="839"/>
    <w:link w:val="838"/>
    <w:uiPriority w:val="9"/>
    <w:rPr>
      <w:rFonts w:ascii="Arial" w:hAnsi="Arial" w:eastAsia="Arial" w:cs="Arial"/>
      <w:i/>
      <w:iCs/>
      <w:sz w:val="21"/>
      <w:szCs w:val="21"/>
    </w:rPr>
  </w:style>
  <w:style w:type="character" w:styleId="851" w:customStyle="1">
    <w:name w:val="Title Char"/>
    <w:basedOn w:val="839"/>
    <w:uiPriority w:val="10"/>
    <w:rPr>
      <w:sz w:val="48"/>
      <w:szCs w:val="48"/>
    </w:rPr>
  </w:style>
  <w:style w:type="paragraph" w:styleId="852">
    <w:name w:val="Subtitle"/>
    <w:basedOn w:val="829"/>
    <w:next w:val="829"/>
    <w:link w:val="853"/>
    <w:uiPriority w:val="11"/>
    <w:qFormat/>
    <w:pPr>
      <w:spacing w:before="200"/>
    </w:pPr>
    <w:rPr>
      <w:sz w:val="24"/>
      <w:szCs w:val="24"/>
    </w:rPr>
  </w:style>
  <w:style w:type="character" w:styleId="853" w:customStyle="1">
    <w:name w:val="Подзаголовок Знак"/>
    <w:basedOn w:val="839"/>
    <w:link w:val="852"/>
    <w:uiPriority w:val="11"/>
    <w:rPr>
      <w:sz w:val="24"/>
      <w:szCs w:val="24"/>
    </w:rPr>
  </w:style>
  <w:style w:type="paragraph" w:styleId="854">
    <w:name w:val="Quote"/>
    <w:basedOn w:val="829"/>
    <w:next w:val="829"/>
    <w:link w:val="855"/>
    <w:uiPriority w:val="29"/>
    <w:qFormat/>
    <w:pPr>
      <w:ind w:left="720" w:right="720"/>
    </w:pPr>
    <w:rPr>
      <w:i/>
    </w:rPr>
  </w:style>
  <w:style w:type="character" w:styleId="855" w:customStyle="1">
    <w:name w:val="Цитата 2 Знак"/>
    <w:link w:val="854"/>
    <w:uiPriority w:val="29"/>
    <w:rPr>
      <w:i/>
    </w:rPr>
  </w:style>
  <w:style w:type="paragraph" w:styleId="856">
    <w:name w:val="Intense Quote"/>
    <w:basedOn w:val="829"/>
    <w:next w:val="829"/>
    <w:link w:val="85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7" w:customStyle="1">
    <w:name w:val="Выделенная цитата Знак"/>
    <w:link w:val="856"/>
    <w:uiPriority w:val="30"/>
    <w:rPr>
      <w:i/>
    </w:rPr>
  </w:style>
  <w:style w:type="character" w:styleId="858" w:customStyle="1">
    <w:name w:val="Header Char"/>
    <w:basedOn w:val="839"/>
    <w:uiPriority w:val="99"/>
  </w:style>
  <w:style w:type="character" w:styleId="859" w:customStyle="1">
    <w:name w:val="Footer Char"/>
    <w:basedOn w:val="839"/>
    <w:uiPriority w:val="99"/>
  </w:style>
  <w:style w:type="paragraph" w:styleId="860">
    <w:name w:val="Caption"/>
    <w:basedOn w:val="829"/>
    <w:next w:val="829"/>
    <w:link w:val="86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61" w:customStyle="1">
    <w:name w:val="Caption Char"/>
    <w:uiPriority w:val="99"/>
  </w:style>
  <w:style w:type="table" w:styleId="862" w:customStyle="1">
    <w:name w:val="Table Grid Light"/>
    <w:basedOn w:val="84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3">
    <w:name w:val="Plain Table 1"/>
    <w:basedOn w:val="84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2"/>
    <w:basedOn w:val="84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6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8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0" w:customStyle="1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1" w:customStyle="1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2" w:customStyle="1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3" w:customStyle="1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4" w:customStyle="1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5" w:customStyle="1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6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3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4" w:customStyle="1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5" w:customStyle="1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6" w:customStyle="1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7" w:customStyle="1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8" w:customStyle="1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9" w:customStyle="1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0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1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3" w:customStyle="1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4" w:customStyle="1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5" w:customStyle="1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6" w:customStyle="1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7" w:customStyle="1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8" w:customStyle="1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9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ned - Accent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7" w:customStyle="1">
    <w:name w:val="Lined - Accent 1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8" w:customStyle="1">
    <w:name w:val="Lined - Accent 2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9" w:customStyle="1">
    <w:name w:val="Lined - Accent 3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0" w:customStyle="1">
    <w:name w:val="Lined - Accent 4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1" w:customStyle="1">
    <w:name w:val="Lined - Accent 5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2" w:customStyle="1">
    <w:name w:val="Lined - Accent 6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3" w:customStyle="1">
    <w:name w:val="Bordered &amp; Lined - Accent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4" w:customStyle="1">
    <w:name w:val="Bordered &amp; Lined - Accent 1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5" w:customStyle="1">
    <w:name w:val="Bordered &amp; Lined - Accent 2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6" w:customStyle="1">
    <w:name w:val="Bordered &amp; Lined - Accent 3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7" w:customStyle="1">
    <w:name w:val="Bordered &amp; Lined - Accent 4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8" w:customStyle="1">
    <w:name w:val="Bordered &amp; Lined - Accent 5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9" w:customStyle="1">
    <w:name w:val="Bordered &amp; Lined - Accent 6"/>
    <w:basedOn w:val="840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0" w:customStyle="1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1" w:customStyle="1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2" w:customStyle="1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3" w:customStyle="1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4" w:customStyle="1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5" w:customStyle="1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6" w:customStyle="1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7" w:customStyle="1">
    <w:name w:val="Footnote Text Char"/>
    <w:uiPriority w:val="99"/>
    <w:rPr>
      <w:sz w:val="18"/>
    </w:rPr>
  </w:style>
  <w:style w:type="character" w:styleId="988" w:customStyle="1">
    <w:name w:val="Endnote Text Char"/>
    <w:uiPriority w:val="99"/>
    <w:rPr>
      <w:sz w:val="20"/>
    </w:rPr>
  </w:style>
  <w:style w:type="paragraph" w:styleId="989">
    <w:name w:val="toc 1"/>
    <w:basedOn w:val="829"/>
    <w:next w:val="829"/>
    <w:uiPriority w:val="39"/>
    <w:unhideWhenUsed/>
    <w:pPr>
      <w:spacing w:after="57"/>
    </w:pPr>
  </w:style>
  <w:style w:type="paragraph" w:styleId="990">
    <w:name w:val="toc 2"/>
    <w:basedOn w:val="829"/>
    <w:next w:val="829"/>
    <w:uiPriority w:val="39"/>
    <w:unhideWhenUsed/>
    <w:pPr>
      <w:ind w:left="283"/>
      <w:spacing w:after="57"/>
    </w:pPr>
  </w:style>
  <w:style w:type="paragraph" w:styleId="991">
    <w:name w:val="toc 3"/>
    <w:basedOn w:val="829"/>
    <w:next w:val="829"/>
    <w:uiPriority w:val="39"/>
    <w:unhideWhenUsed/>
    <w:pPr>
      <w:ind w:left="567"/>
      <w:spacing w:after="57"/>
    </w:pPr>
  </w:style>
  <w:style w:type="paragraph" w:styleId="992">
    <w:name w:val="toc 4"/>
    <w:basedOn w:val="829"/>
    <w:next w:val="829"/>
    <w:uiPriority w:val="39"/>
    <w:unhideWhenUsed/>
    <w:pPr>
      <w:ind w:left="850"/>
      <w:spacing w:after="57"/>
    </w:pPr>
  </w:style>
  <w:style w:type="paragraph" w:styleId="993">
    <w:name w:val="toc 5"/>
    <w:basedOn w:val="829"/>
    <w:next w:val="829"/>
    <w:uiPriority w:val="39"/>
    <w:unhideWhenUsed/>
    <w:pPr>
      <w:ind w:left="1134"/>
      <w:spacing w:after="57"/>
    </w:pPr>
  </w:style>
  <w:style w:type="paragraph" w:styleId="994">
    <w:name w:val="toc 6"/>
    <w:basedOn w:val="829"/>
    <w:next w:val="829"/>
    <w:uiPriority w:val="39"/>
    <w:unhideWhenUsed/>
    <w:pPr>
      <w:ind w:left="1417"/>
      <w:spacing w:after="57"/>
    </w:pPr>
  </w:style>
  <w:style w:type="paragraph" w:styleId="995">
    <w:name w:val="toc 7"/>
    <w:basedOn w:val="829"/>
    <w:next w:val="829"/>
    <w:uiPriority w:val="39"/>
    <w:unhideWhenUsed/>
    <w:pPr>
      <w:ind w:left="1701"/>
      <w:spacing w:after="57"/>
    </w:pPr>
  </w:style>
  <w:style w:type="paragraph" w:styleId="996">
    <w:name w:val="toc 8"/>
    <w:basedOn w:val="829"/>
    <w:next w:val="829"/>
    <w:uiPriority w:val="39"/>
    <w:unhideWhenUsed/>
    <w:pPr>
      <w:ind w:left="1984"/>
      <w:spacing w:after="57"/>
    </w:pPr>
  </w:style>
  <w:style w:type="paragraph" w:styleId="997">
    <w:name w:val="toc 9"/>
    <w:basedOn w:val="829"/>
    <w:next w:val="829"/>
    <w:uiPriority w:val="39"/>
    <w:unhideWhenUsed/>
    <w:pPr>
      <w:ind w:left="2268"/>
      <w:spacing w:after="57"/>
    </w:pPr>
  </w:style>
  <w:style w:type="paragraph" w:styleId="998">
    <w:name w:val="TOC Heading"/>
    <w:uiPriority w:val="39"/>
    <w:unhideWhenUsed/>
  </w:style>
  <w:style w:type="paragraph" w:styleId="999">
    <w:name w:val="table of figures"/>
    <w:basedOn w:val="829"/>
    <w:next w:val="829"/>
    <w:uiPriority w:val="99"/>
    <w:unhideWhenUsed/>
    <w:pPr>
      <w:spacing w:after="0"/>
    </w:pPr>
  </w:style>
  <w:style w:type="paragraph" w:styleId="1000">
    <w:name w:val="footnote text"/>
    <w:basedOn w:val="829"/>
    <w:link w:val="1001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01" w:customStyle="1">
    <w:name w:val="Текст сноски Знак"/>
    <w:basedOn w:val="839"/>
    <w:link w:val="1000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02">
    <w:name w:val="Title"/>
    <w:basedOn w:val="829"/>
    <w:link w:val="1003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03" w:customStyle="1">
    <w:name w:val="Заголовок Знак"/>
    <w:basedOn w:val="839"/>
    <w:link w:val="1002"/>
    <w:rPr>
      <w:rFonts w:ascii="Times New Roman" w:hAnsi="Times New Roman" w:eastAsia="Times New Roman" w:cs="Times New Roman"/>
      <w:sz w:val="24"/>
      <w:szCs w:val="24"/>
    </w:rPr>
  </w:style>
  <w:style w:type="character" w:styleId="1004" w:customStyle="1">
    <w:name w:val="Основной текст Знак"/>
    <w:basedOn w:val="839"/>
    <w:link w:val="1005"/>
    <w:rPr>
      <w:rFonts w:ascii="Times New Roman" w:hAnsi="Times New Roman" w:eastAsia="Times New Roman" w:cs="Times New Roman"/>
      <w:sz w:val="28"/>
      <w:szCs w:val="28"/>
    </w:rPr>
  </w:style>
  <w:style w:type="paragraph" w:styleId="1005">
    <w:name w:val="Body Text"/>
    <w:basedOn w:val="829"/>
    <w:link w:val="1004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06" w:customStyle="1">
    <w:name w:val="Основной текст Знак1"/>
    <w:basedOn w:val="839"/>
    <w:uiPriority w:val="99"/>
    <w:semiHidden/>
  </w:style>
  <w:style w:type="paragraph" w:styleId="1007">
    <w:name w:val="Body Text Indent"/>
    <w:basedOn w:val="829"/>
    <w:link w:val="1008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08" w:customStyle="1">
    <w:name w:val="Основной текст с отступом Знак"/>
    <w:basedOn w:val="839"/>
    <w:link w:val="1007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09">
    <w:name w:val="Body Text 2"/>
    <w:basedOn w:val="829"/>
    <w:link w:val="1010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10" w:customStyle="1">
    <w:name w:val="Основной текст 2 Знак"/>
    <w:basedOn w:val="839"/>
    <w:link w:val="1009"/>
    <w:rPr>
      <w:rFonts w:ascii="Times New Roman" w:hAnsi="Times New Roman" w:eastAsia="Times New Roman" w:cs="Times New Roman"/>
      <w:sz w:val="28"/>
      <w:szCs w:val="28"/>
    </w:rPr>
  </w:style>
  <w:style w:type="paragraph" w:styleId="1011">
    <w:name w:val="Body Text 3"/>
    <w:basedOn w:val="829"/>
    <w:link w:val="1012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12" w:customStyle="1">
    <w:name w:val="Основной текст 3 Знак"/>
    <w:basedOn w:val="839"/>
    <w:link w:val="1011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13">
    <w:name w:val="No Spacing"/>
    <w:link w:val="1024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14" w:customStyle="1">
    <w:name w:val="МРСК_заголовок_1"/>
    <w:basedOn w:val="830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15" w:customStyle="1">
    <w:name w:val="МРСК_заголовок_2"/>
    <w:basedOn w:val="829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16" w:customStyle="1">
    <w:name w:val="МРСК_заголовок_3"/>
    <w:basedOn w:val="832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17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8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19" w:customStyle="1">
    <w:name w:val="Стиль22"/>
    <w:pPr>
      <w:numPr>
        <w:ilvl w:val="0"/>
        <w:numId w:val="17"/>
      </w:numPr>
    </w:pPr>
  </w:style>
  <w:style w:type="character" w:styleId="1020" w:customStyle="1">
    <w:name w:val="Заголовок 1 Знак"/>
    <w:basedOn w:val="839"/>
    <w:link w:val="830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21" w:customStyle="1">
    <w:name w:val="Заголовок 3 Знак"/>
    <w:basedOn w:val="839"/>
    <w:link w:val="832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22">
    <w:name w:val="Hyperlink"/>
    <w:basedOn w:val="839"/>
    <w:uiPriority w:val="99"/>
    <w:unhideWhenUsed/>
    <w:rPr>
      <w:color w:val="0000ff" w:themeColor="hyperlink"/>
      <w:u w:val="single"/>
    </w:rPr>
  </w:style>
  <w:style w:type="paragraph" w:styleId="1023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24" w:customStyle="1">
    <w:name w:val="Без интервала Знак"/>
    <w:link w:val="101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5" w:customStyle="1">
    <w:name w:val="МРСК_таблица_текст"/>
    <w:basedOn w:val="829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26">
    <w:name w:val="Header"/>
    <w:basedOn w:val="829"/>
    <w:link w:val="102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27" w:customStyle="1">
    <w:name w:val="Верхний колонтитул Знак"/>
    <w:basedOn w:val="839"/>
    <w:link w:val="1026"/>
    <w:uiPriority w:val="99"/>
  </w:style>
  <w:style w:type="paragraph" w:styleId="1028">
    <w:name w:val="Footer"/>
    <w:basedOn w:val="829"/>
    <w:link w:val="102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29" w:customStyle="1">
    <w:name w:val="Нижний колонтитул Знак"/>
    <w:basedOn w:val="839"/>
    <w:link w:val="1028"/>
    <w:uiPriority w:val="99"/>
  </w:style>
  <w:style w:type="character" w:styleId="1030" w:customStyle="1">
    <w:name w:val="apple-converted-space"/>
    <w:basedOn w:val="839"/>
  </w:style>
  <w:style w:type="paragraph" w:styleId="1031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32">
    <w:name w:val="Table Grid"/>
    <w:basedOn w:val="84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3">
    <w:name w:val="List Paragraph"/>
    <w:basedOn w:val="829"/>
    <w:uiPriority w:val="34"/>
    <w:qFormat/>
    <w:pPr>
      <w:contextualSpacing/>
      <w:ind w:left="720"/>
    </w:pPr>
  </w:style>
  <w:style w:type="paragraph" w:styleId="1034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35" w:customStyle="1">
    <w:name w:val="Font Style14"/>
    <w:basedOn w:val="839"/>
    <w:uiPriority w:val="99"/>
    <w:rPr>
      <w:rFonts w:ascii="Arial" w:hAnsi="Arial" w:cs="Arial"/>
      <w:b/>
      <w:bCs/>
      <w:sz w:val="18"/>
      <w:szCs w:val="18"/>
    </w:rPr>
  </w:style>
  <w:style w:type="character" w:styleId="1036" w:customStyle="1">
    <w:name w:val="js-phone-number"/>
    <w:basedOn w:val="839"/>
  </w:style>
  <w:style w:type="paragraph" w:styleId="1037">
    <w:name w:val="Balloon Text"/>
    <w:basedOn w:val="829"/>
    <w:link w:val="103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38" w:customStyle="1">
    <w:name w:val="Текст выноски Знак"/>
    <w:basedOn w:val="839"/>
    <w:link w:val="1037"/>
    <w:uiPriority w:val="99"/>
    <w:semiHidden/>
    <w:rPr>
      <w:rFonts w:ascii="Tahoma" w:hAnsi="Tahoma" w:cs="Tahoma"/>
      <w:sz w:val="16"/>
      <w:szCs w:val="16"/>
    </w:rPr>
  </w:style>
  <w:style w:type="numbering" w:styleId="1039" w:customStyle="1">
    <w:name w:val="Нет списка1"/>
    <w:next w:val="841"/>
    <w:uiPriority w:val="99"/>
    <w:semiHidden/>
    <w:unhideWhenUsed/>
  </w:style>
  <w:style w:type="numbering" w:styleId="1040" w:customStyle="1">
    <w:name w:val="Нет списка2"/>
    <w:next w:val="841"/>
    <w:uiPriority w:val="99"/>
    <w:semiHidden/>
    <w:unhideWhenUsed/>
  </w:style>
  <w:style w:type="numbering" w:styleId="1041" w:customStyle="1">
    <w:name w:val="Нет списка11"/>
    <w:next w:val="841"/>
    <w:uiPriority w:val="99"/>
    <w:semiHidden/>
    <w:unhideWhenUsed/>
  </w:style>
  <w:style w:type="character" w:styleId="1042" w:customStyle="1">
    <w:name w:val="property_name"/>
    <w:basedOn w:val="839"/>
  </w:style>
  <w:style w:type="character" w:styleId="1043" w:customStyle="1">
    <w:name w:val="n-product-spec__name-inner"/>
    <w:basedOn w:val="839"/>
  </w:style>
  <w:style w:type="character" w:styleId="1044">
    <w:name w:val="Strong"/>
    <w:basedOn w:val="839"/>
    <w:uiPriority w:val="22"/>
    <w:qFormat/>
    <w:rPr>
      <w:b/>
      <w:bCs/>
    </w:rPr>
  </w:style>
  <w:style w:type="character" w:styleId="1045" w:customStyle="1">
    <w:name w:val="Основной текст (2)_"/>
    <w:basedOn w:val="83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46" w:customStyle="1">
    <w:name w:val="Основной текст (2)"/>
    <w:basedOn w:val="1045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47" w:customStyle="1">
    <w:name w:val="Основной текст (2) + Полужирный"/>
    <w:basedOn w:val="1045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48" w:customStyle="1">
    <w:name w:val="Основной текст (2) + Arial Narrow;9;5 pt"/>
    <w:basedOn w:val="1045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49" w:customStyle="1">
    <w:name w:val="Основной текст (2) + Arial Narrow;15 pt"/>
    <w:basedOn w:val="1045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50">
    <w:name w:val="endnote text"/>
    <w:basedOn w:val="829"/>
    <w:link w:val="105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51" w:customStyle="1">
    <w:name w:val="Текст концевой сноски Знак"/>
    <w:basedOn w:val="839"/>
    <w:link w:val="1050"/>
    <w:uiPriority w:val="99"/>
    <w:semiHidden/>
    <w:rPr>
      <w:sz w:val="20"/>
      <w:szCs w:val="20"/>
    </w:rPr>
  </w:style>
  <w:style w:type="character" w:styleId="1052">
    <w:name w:val="endnote reference"/>
    <w:basedOn w:val="839"/>
    <w:uiPriority w:val="99"/>
    <w:semiHidden/>
    <w:unhideWhenUsed/>
    <w:rPr>
      <w:vertAlign w:val="superscript"/>
    </w:rPr>
  </w:style>
  <w:style w:type="paragraph" w:styleId="1053">
    <w:name w:val="Body Text Indent 2"/>
    <w:basedOn w:val="829"/>
    <w:link w:val="1054"/>
    <w:uiPriority w:val="99"/>
    <w:semiHidden/>
    <w:unhideWhenUsed/>
    <w:pPr>
      <w:ind w:left="283"/>
      <w:spacing w:after="120" w:line="480" w:lineRule="auto"/>
    </w:pPr>
  </w:style>
  <w:style w:type="character" w:styleId="1054" w:customStyle="1">
    <w:name w:val="Основной текст с отступом 2 Знак"/>
    <w:basedOn w:val="839"/>
    <w:link w:val="1053"/>
    <w:uiPriority w:val="99"/>
    <w:semiHidden/>
  </w:style>
  <w:style w:type="paragraph" w:styleId="1055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56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57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C432-339E-4C6E-A0C6-8E843AE4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193</cp:revision>
  <dcterms:created xsi:type="dcterms:W3CDTF">2023-08-25T12:30:00Z</dcterms:created>
  <dcterms:modified xsi:type="dcterms:W3CDTF">2025-10-20T01:58:46Z</dcterms:modified>
</cp:coreProperties>
</file>